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  <w:bookmarkStart w:id="0" w:name="_GoBack"/>
      <w:bookmarkEnd w:id="0"/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F16EB2">
      <w:pPr>
        <w:pStyle w:val="2"/>
        <w:rPr>
          <w:b/>
          <w:bCs/>
          <w:sz w:val="28"/>
          <w:szCs w:val="28"/>
          <w:lang w:bidi="ar-SA"/>
        </w:rPr>
      </w:pPr>
    </w:p>
    <w:p w:rsidR="00F16EB2" w:rsidRDefault="00414988">
      <w:pPr>
        <w:pStyle w:val="2"/>
        <w:ind w:hanging="12"/>
        <w:rPr>
          <w:b/>
          <w:bCs/>
          <w:sz w:val="28"/>
          <w:szCs w:val="28"/>
          <w:lang w:bidi="ar-SA"/>
        </w:rPr>
      </w:pPr>
      <w:r>
        <w:rPr>
          <w:b/>
          <w:bCs/>
          <w:sz w:val="28"/>
          <w:szCs w:val="28"/>
          <w:lang w:bidi="ar-SA"/>
        </w:rPr>
        <w:t>Об индексации ставок тарифов, сборов и платы за перевозку грузов и</w:t>
      </w:r>
    </w:p>
    <w:p w:rsidR="00F16EB2" w:rsidRDefault="00414988">
      <w:pPr>
        <w:pStyle w:val="2"/>
        <w:ind w:hanging="12"/>
        <w:rPr>
          <w:b/>
          <w:bCs/>
          <w:sz w:val="28"/>
          <w:szCs w:val="28"/>
          <w:lang w:bidi="ar-SA"/>
        </w:rPr>
      </w:pPr>
      <w:proofErr w:type="gramStart"/>
      <w:r>
        <w:rPr>
          <w:b/>
          <w:bCs/>
          <w:sz w:val="28"/>
          <w:szCs w:val="28"/>
          <w:lang w:bidi="ar-SA"/>
        </w:rPr>
        <w:t>услуги</w:t>
      </w:r>
      <w:proofErr w:type="gramEnd"/>
      <w:r>
        <w:rPr>
          <w:b/>
          <w:bCs/>
          <w:sz w:val="28"/>
          <w:szCs w:val="28"/>
          <w:lang w:bidi="ar-SA"/>
        </w:rPr>
        <w:t xml:space="preserve"> по использованию инфраструктуры при перевозках грузов, выполняемые (оказываемые) ОАО «Российские </w:t>
      </w:r>
      <w:r>
        <w:rPr>
          <w:b/>
          <w:bCs/>
          <w:sz w:val="28"/>
          <w:szCs w:val="28"/>
          <w:lang w:bidi="ar-SA"/>
        </w:rPr>
        <w:t>железные дороги»</w:t>
      </w:r>
    </w:p>
    <w:p w:rsidR="00F16EB2" w:rsidRDefault="00F16EB2">
      <w:pPr>
        <w:pStyle w:val="2"/>
        <w:autoSpaceDE w:val="0"/>
        <w:ind w:firstLine="0"/>
        <w:textAlignment w:val="auto"/>
        <w:rPr>
          <w:b/>
          <w:bCs/>
          <w:sz w:val="28"/>
          <w:szCs w:val="28"/>
          <w:lang w:bidi="ar-SA"/>
        </w:rPr>
      </w:pP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В соответствии с Федеральным законом от 17 августа 1995 года №147-ФЗ «О естественных монополиях» (Собрание законодательства Российской Федерации, 1995, № 34, ст. 3426; 2001, № 33 (часть I), ст. 3429; 2002, № 1 (часть I), ст. 2; 2003, № 2,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ст. 168; № 13, ст. 1181; 2004, № 27, ст. 2711; 2006, № 1, ст. 10; № 19, ст. 2063; 2007, № 1 (часть I), ст. 21; № 43, ст. 5084; № 46, ст. 5557; 2008, № 52 (часть I), ст. 6236; 2011, № 29, ст. 4281; № 30 (часть I), ст. 4590, № 30 (часть I), ст. 4596; № 50, </w:t>
      </w:r>
      <w:r>
        <w:rPr>
          <w:rFonts w:eastAsia="Calibri" w:cs="Times New Roman"/>
          <w:sz w:val="28"/>
          <w:szCs w:val="28"/>
          <w:lang w:eastAsia="en-US" w:bidi="ar-SA"/>
        </w:rPr>
        <w:t xml:space="preserve">ст. 7343; 2012, № 26, ст. 3446; № 31, ст. 4321; № 53 (часть I), ст. 7616: 2015, № 41 (часть </w:t>
      </w:r>
      <w:r>
        <w:rPr>
          <w:rFonts w:eastAsia="Calibri" w:cs="Times New Roman"/>
          <w:sz w:val="28"/>
          <w:szCs w:val="28"/>
          <w:lang w:val="en-US" w:eastAsia="en-US" w:bidi="ar-SA"/>
        </w:rPr>
        <w:t>I</w:t>
      </w:r>
      <w:r>
        <w:rPr>
          <w:rFonts w:eastAsia="Calibri" w:cs="Times New Roman"/>
          <w:sz w:val="28"/>
          <w:szCs w:val="28"/>
          <w:lang w:eastAsia="en-US" w:bidi="ar-SA"/>
        </w:rPr>
        <w:t xml:space="preserve">) ст. 5629), 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>Указом Президента Российской Федерации от 21.07.2015 № 373 «О некоторых вопросах государственного управления и контроля в сфере антимонопольного и тар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>ифного регулирования» (Собрание законодательства Российской Федерации, 2015, № 30, ст. 4571), Положением о Федеральной антимонопольной службе, утвержденным постановлением Правительства Российской Федерации от 30 июня 2004 года № 331 (Собрание законодательс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>тва Российской Федерации,  2004, № 31, ст. 3259; 2006, № 45, ст. 4706; № 49, ст. 5223; 2007,№ 7, ст. 903; 2008, № 13, ст. 1316; № 44, ст. 5089; 2009, № 2, ст. 248; № 3, ст. 378; № 39, ст. 4613; 2010, № 9, ст. 960; № 25, ст. 3181; 2011, № 14, ст. 1935; № 18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, ст. 2645; № 44, ст. 6269; 2012, № 27, ст. 3741; № 39, ст. 5283; № 52, ст. 7518; 2013, № 35, ст. 4514; № 36, ст. 4578; № 45, ст. 5822; 2014, № 35, ст. 4774; 2015, № 1, ст. 279; № 10, ст. 1543; № 37 ст. 5153; № 44 ст. 6133), 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lastRenderedPageBreak/>
        <w:t>постановлением Правительства Ро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ссийской Федерации от 5 августа 2009 года № 643 «О государственном регулировании тарифов, сборов и платы в отношении работ (услуг) субъектов естественных монополий в сфере железнодорожных перевозок» (Собрание законодательства Российской Федерации, 2009, № 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>32, ст. 4051; 2013, № 27, ст. 3602; 2015 г., № 37, ст. 5153)</w:t>
      </w: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,</w:t>
      </w:r>
      <w:r>
        <w:rPr>
          <w:rFonts w:eastAsia="Calibri" w:cs="Times New Roman"/>
          <w:color w:val="000000"/>
          <w:sz w:val="28"/>
          <w:szCs w:val="28"/>
          <w:lang w:eastAsia="en-US" w:bidi="ar-SA"/>
        </w:rPr>
        <w:t xml:space="preserve"> приказываю</w:t>
      </w:r>
      <w:r>
        <w:rPr>
          <w:rFonts w:eastAsia="Calibri" w:cs="Times New Roman"/>
          <w:sz w:val="28"/>
          <w:szCs w:val="28"/>
          <w:lang w:eastAsia="en-US" w:bidi="ar-SA"/>
        </w:rPr>
        <w:t>:</w:t>
      </w: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1. Установить следующие индексы к базовым ставкам тарифов, сборов и платы за перевозку грузов и услуги по использованию инфраструктуры при перевозках грузов, расчеты за которые осуще</w:t>
      </w:r>
      <w:r>
        <w:rPr>
          <w:rFonts w:eastAsia="Calibri" w:cs="Times New Roman"/>
          <w:sz w:val="28"/>
          <w:szCs w:val="28"/>
          <w:lang w:eastAsia="en-US" w:bidi="ar-SA"/>
        </w:rPr>
        <w:t>ствляются в соответствии с Прейскурантом № 10-01 «Тарифы на перевозки грузов и услуги инфраструктуры, выполняемые российскими железными дорогами», утвержденным постановлением ФЭК России от 17 июня 2003 года № 47-т/5 (зарегистрировано Минюстом России 9 июля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2003 года, регистрационный № 4882), с изменениями и дополнениями, внесенными постановлением ФЭК России от 21 октября 2003 года № 85-т/1 (зарегистрирован Минюстом России 31 декабря 2003 года, регистрационный № 5374); приказами ФСТ России от 14 сентября 200</w:t>
      </w:r>
      <w:r>
        <w:rPr>
          <w:rFonts w:eastAsia="Calibri" w:cs="Times New Roman"/>
          <w:sz w:val="28"/>
          <w:szCs w:val="28"/>
          <w:lang w:eastAsia="en-US" w:bidi="ar-SA"/>
        </w:rPr>
        <w:t>4 года № 71-т/1 (зарегистрирован Минюстом России 20 октября 2004 года, регистрационный № 6075); от 26 октября 2004 года № 140-т/1 (зарегистрирован Минюстом России 2 декабря 2004 года, регистрационный № 6163); от 26 октября 2004 года № 141-т/2 (зарегистриро</w:t>
      </w:r>
      <w:r>
        <w:rPr>
          <w:rFonts w:eastAsia="Calibri" w:cs="Times New Roman"/>
          <w:sz w:val="28"/>
          <w:szCs w:val="28"/>
          <w:lang w:eastAsia="en-US" w:bidi="ar-SA"/>
        </w:rPr>
        <w:t>ван Минюстом России 7 декабря 2004 года, регистрационный № 6174); от 16 декабря 2004 года № 295-т/4 (зарегистрирован Минюстом России 17 декабря 2004 года, регистрационный N 6202); от 29 декабря 2004 года № 422-т/2 (зарегистрирован Минюстом России 18 января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2005 года, регистрационный № 6273); от 17 мая 2005 года № 204-т/5 (зарегистрирован Минюстом России 6 июня 2005 года, регистрационный № 6685); от 13 декабря 2005 года № 617-т/5 (зарегистрирован Минюстом России 20 декабря 2005 года, регистрационный № 7287);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от 18 апреля 2006 года № 79-т/2 (зарегистрирован Минюстом России 18 мая 2006 года, регистрационный N 7851); от 25 апреля 2006 года № 83-т/2 (зарегистрирован Минюстом России 19 мая 2006 года, регистрационный № 7858); от 25 апреля 2006 года № 84-т/3 (зареги</w:t>
      </w:r>
      <w:r>
        <w:rPr>
          <w:rFonts w:eastAsia="Calibri" w:cs="Times New Roman"/>
          <w:sz w:val="28"/>
          <w:szCs w:val="28"/>
          <w:lang w:eastAsia="en-US" w:bidi="ar-SA"/>
        </w:rPr>
        <w:t xml:space="preserve">стрирован </w:t>
      </w:r>
      <w:r>
        <w:rPr>
          <w:rFonts w:eastAsia="Calibri" w:cs="Times New Roman"/>
          <w:sz w:val="28"/>
          <w:szCs w:val="28"/>
          <w:lang w:eastAsia="en-US" w:bidi="ar-SA"/>
        </w:rPr>
        <w:lastRenderedPageBreak/>
        <w:t>Минюстом России 19 мая 2006 года, регистрационный № 7867); от 19 июня 2006 года № 129-т/2 (зарегистрирован Минюстом России 17 июля 2006 года, регистрационный № 8080); от 19 июня 2006 года № 133-т/6 (зарегистрирован Минюстом России 19 июня 2006 го</w:t>
      </w:r>
      <w:r>
        <w:rPr>
          <w:rFonts w:eastAsia="Calibri" w:cs="Times New Roman"/>
          <w:sz w:val="28"/>
          <w:szCs w:val="28"/>
          <w:lang w:eastAsia="en-US" w:bidi="ar-SA"/>
        </w:rPr>
        <w:t xml:space="preserve">да, регистрационный № 7936); от 9 декабря 2006 года № 355-т/6 (зарегистрирован Минюстом России 18 декабря 2006 года, регистрационный № 8627); от 4 декабря 2007 года № 410-т/6 (зарегистрирован Минюстом России 14 декабря 2007 года, регистрационный № 10721); </w:t>
      </w:r>
      <w:r>
        <w:rPr>
          <w:rFonts w:eastAsia="Calibri" w:cs="Times New Roman"/>
          <w:sz w:val="28"/>
          <w:szCs w:val="28"/>
          <w:lang w:eastAsia="en-US" w:bidi="ar-SA"/>
        </w:rPr>
        <w:t>от 25 апреля 2008 года № 83-т/1 (зарегистрирован Минюстом России 6 мая 2008 года, регистрационный № 11627); от 24 декабря 2008 года № 462-т/3 (зарегистрирован Минюстом России 29 декабря 2008 года, регистрационный № 13028); от 30 декабря 2008 года № 474-т/1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(зарегистрирован Минюстом России 30 декабря 2008 года, регистрационный № 13053); от 14 августа 2009 года № 188-т/1 (зарегистрирован Минюстом России 21 октября 2009 года, регистрационный № 15080); от 24 декабря 2009 года № 497-т/1 (зарегистрирован Минюстом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России 13 января 2010 года, регистрационный N 15954); от 27 февраля 2010 года № 28-т/1 (зарегистрирован Минюстом России 24 марта 2010 года, регистрационный № 16710); от 7 декабря 2010 года № 388-т/3 (зарегистрирован Минюстом России 16 декабря 2010 года, р</w:t>
      </w:r>
      <w:r>
        <w:rPr>
          <w:rFonts w:eastAsia="Calibri" w:cs="Times New Roman"/>
          <w:sz w:val="28"/>
          <w:szCs w:val="28"/>
          <w:lang w:eastAsia="en-US" w:bidi="ar-SA"/>
        </w:rPr>
        <w:t>егистрационный N 19203); от 20 мая 2011 года № 104-т/1 (зарегистрирован Минюстом России 28 июня 2011 года, регистрационный № 21205); от 29 июля 2011 года № 182-т/1 (зарегистрирован Минюстом России 3 октября 2011 года, регистрационный № 21961); от 6 декабря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2011 года № 318-т/3 (зарегистрирован Минюстом России 14 декабря 2011 года, регистрационный № 22607); от 4 мая 2012 года № 78-т/1 (зарегистрирован Минюстом России 4 июля 2012 года, регистрационный № 24789); от 27 ноября 2012 года № 303-т/3 (зарегистрирован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Минюстом России 10 декабря 2012 года, регистрационный № 26052); от 18 декабря 2012 года № 396-т/1 (зарегистрирован Минюстом России 29 декабря 2012 года, регистрационный № 26459); от 9 апреля 2013 года N 61-т/1 (зарегистрирован Минюстом России 18 апреля 20</w:t>
      </w:r>
      <w:r>
        <w:rPr>
          <w:rFonts w:eastAsia="Calibri" w:cs="Times New Roman"/>
          <w:sz w:val="28"/>
          <w:szCs w:val="28"/>
          <w:lang w:eastAsia="en-US" w:bidi="ar-SA"/>
        </w:rPr>
        <w:t xml:space="preserve">13 года, регистрационный № 28176); от 5 июня 2013 года № 105-т/1 (зарегистрирован Минюстом России 15 </w:t>
      </w:r>
      <w:r>
        <w:rPr>
          <w:rFonts w:eastAsia="Calibri" w:cs="Times New Roman"/>
          <w:sz w:val="28"/>
          <w:szCs w:val="28"/>
          <w:lang w:eastAsia="en-US" w:bidi="ar-SA"/>
        </w:rPr>
        <w:lastRenderedPageBreak/>
        <w:t>июля 2013 года, регистрационный № 29069); от 17 июля 2013 года № 140-т/6 (зарегистрирован Минюстом России 14 августа 2013 года, регистрационный № 29393); о</w:t>
      </w:r>
      <w:r>
        <w:rPr>
          <w:rFonts w:eastAsia="Calibri" w:cs="Times New Roman"/>
          <w:sz w:val="28"/>
          <w:szCs w:val="28"/>
          <w:lang w:eastAsia="en-US" w:bidi="ar-SA"/>
        </w:rPr>
        <w:t>т 12 ноября 2013 года № 197-т/1 (зарегистрирован Минюстом России 16 декабря 2013 года, регистрационный № 30601), от 12 марта 2014 года № 52-т/1 (зарегистрирован Минюстом России 29 апреля 2014 года, регистрационный № 32151), от 29 декабря 2014 года № 311-т/</w:t>
      </w:r>
      <w:r>
        <w:rPr>
          <w:rFonts w:eastAsia="Calibri" w:cs="Times New Roman"/>
          <w:sz w:val="28"/>
          <w:szCs w:val="28"/>
          <w:lang w:eastAsia="en-US" w:bidi="ar-SA"/>
        </w:rPr>
        <w:t>1 (зарегистрирован Минюстом России 29 января 2015 года, регистрационный № 35781)</w:t>
      </w:r>
      <w:r>
        <w:rPr>
          <w:rFonts w:eastAsia="Times New Roman" w:cs="Times New Roman"/>
          <w:sz w:val="28"/>
          <w:szCs w:val="28"/>
          <w:lang w:eastAsia="en-US" w:bidi="ar-SA"/>
        </w:rPr>
        <w:t>,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(далее - Прейскурант № 10-01):</w:t>
      </w: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- определяемым по правилам раздела 2 части I Прейскуранта № 10-01, согласно приложениям № 1 и № 5 к настоящему приказу, при этом индексы, устан</w:t>
      </w:r>
      <w:r>
        <w:rPr>
          <w:rFonts w:eastAsia="Calibri" w:cs="Times New Roman"/>
          <w:sz w:val="28"/>
          <w:szCs w:val="28"/>
          <w:lang w:eastAsia="en-US" w:bidi="ar-SA"/>
        </w:rPr>
        <w:t>овленные приложением № 5 к настоящему приказу, применяются дополнительно к индексам приложения 1 при указанных в приложении 5 к настоящему приказу условиях перевозок;</w:t>
      </w: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 xml:space="preserve">- определяемым по правилам раздела 4 части I Прейскуранта № 10-01, согласно приложению № </w:t>
      </w:r>
      <w:r>
        <w:rPr>
          <w:rFonts w:eastAsia="Calibri" w:cs="Times New Roman"/>
          <w:sz w:val="28"/>
          <w:szCs w:val="28"/>
          <w:lang w:eastAsia="en-US" w:bidi="ar-SA"/>
        </w:rPr>
        <w:t>2 к настоящему приказу.</w:t>
      </w: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2. Установленные пунктом 1 индексы не применяются к ставкам сбора за объявленную ценность груза (пункт 2.36 раздела 2 части I Прейскуранта № 10-01).</w:t>
      </w:r>
    </w:p>
    <w:p w:rsidR="00F16EB2" w:rsidRDefault="00414988">
      <w:pPr>
        <w:pStyle w:val="Standard"/>
        <w:autoSpaceDE w:val="0"/>
        <w:spacing w:line="360" w:lineRule="auto"/>
        <w:ind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 xml:space="preserve">3. Установить индексы к базовым ставкам платы за пользование вагонами и </w:t>
      </w:r>
      <w:r>
        <w:rPr>
          <w:rFonts w:eastAsia="Calibri" w:cs="Times New Roman"/>
          <w:sz w:val="28"/>
          <w:szCs w:val="28"/>
          <w:lang w:eastAsia="en-US" w:bidi="ar-SA"/>
        </w:rPr>
        <w:t xml:space="preserve">контейнерами и размерам уменьшения действующих тарифов, установленных Тарифным руководством № 2 «Правила применения ставок платы за пользование вагонами и контейнерами федерального железнодорожного транспорта», утвержденным постановлением ФЭК России от 19 </w:t>
      </w:r>
      <w:r>
        <w:rPr>
          <w:rFonts w:eastAsia="Calibri" w:cs="Times New Roman"/>
          <w:sz w:val="28"/>
          <w:szCs w:val="28"/>
          <w:lang w:eastAsia="en-US" w:bidi="ar-SA"/>
        </w:rPr>
        <w:t>июня 2002 года № 35/12 (зарегистрировано Минюстом России 8 августа 2002 года, регистрационный № 3678), с изменениями и дополнениями, внесенными постановлением ФЭК России от 7 октября 2003 года № 82-т/3 (зарегистрировано Минюстом России 15 октября 2003 года</w:t>
      </w:r>
      <w:r>
        <w:rPr>
          <w:rFonts w:eastAsia="Calibri" w:cs="Times New Roman"/>
          <w:sz w:val="28"/>
          <w:szCs w:val="28"/>
          <w:lang w:eastAsia="en-US" w:bidi="ar-SA"/>
        </w:rPr>
        <w:t>, регистрационный № 5175), приказами ФСТ России от 19 июня 2006 года № 131-т/4 (зарегистрирован Минюстом России 17 июля 2006 года, регистрационный № 8072), от 10 июня 2009 года № 119-т/4 (зарегистрирован Минюстом России 16 июня 2009 года, регистрационный №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14092), от 29 апреля </w:t>
      </w:r>
      <w:r>
        <w:rPr>
          <w:rFonts w:eastAsia="Calibri" w:cs="Times New Roman"/>
          <w:sz w:val="28"/>
          <w:szCs w:val="28"/>
          <w:lang w:eastAsia="en-US" w:bidi="ar-SA"/>
        </w:rPr>
        <w:lastRenderedPageBreak/>
        <w:t>2015 года № 127-т/1  (зарегистрирован Минюстом России 26 мая 2015 года, регистрационный № 37379) (далее - Тарифное руководство № 2), согласно приложению № 3 к настоящему приказу</w:t>
      </w:r>
      <w:r>
        <w:rPr>
          <w:rFonts w:eastAsia="Times New Roman" w:cs="Times New Roman"/>
          <w:sz w:val="28"/>
          <w:szCs w:val="28"/>
          <w:lang w:eastAsia="en-US" w:bidi="ar-SA"/>
        </w:rPr>
        <w:t>.</w:t>
      </w:r>
    </w:p>
    <w:p w:rsidR="00F16EB2" w:rsidRDefault="00414988">
      <w:pPr>
        <w:pStyle w:val="Standard"/>
        <w:numPr>
          <w:ilvl w:val="2"/>
          <w:numId w:val="3"/>
        </w:numPr>
        <w:autoSpaceDE w:val="0"/>
        <w:spacing w:line="360" w:lineRule="auto"/>
        <w:ind w:left="0" w:firstLine="709"/>
        <w:jc w:val="both"/>
        <w:textAlignment w:val="auto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  <w:lang w:eastAsia="en-US" w:bidi="ar-SA"/>
        </w:rPr>
        <w:t>Установить индексы к базовым ставкам сборов, установлен</w:t>
      </w:r>
      <w:r>
        <w:rPr>
          <w:rFonts w:eastAsia="Calibri" w:cs="Times New Roman"/>
          <w:sz w:val="28"/>
          <w:szCs w:val="28"/>
          <w:lang w:eastAsia="en-US" w:bidi="ar-SA"/>
        </w:rPr>
        <w:t>ных Тарифным руководством № 3 «Правила применения сборов за дополнительные операции, связанные с перевозкой грузов на федеральном железнодорожном транспорте», утвержденным постановлением ФЭК России от 19 июня 2002 года № 35/15 (зарегистрировано Минюстом Ро</w:t>
      </w:r>
      <w:r>
        <w:rPr>
          <w:rFonts w:eastAsia="Calibri" w:cs="Times New Roman"/>
          <w:sz w:val="28"/>
          <w:szCs w:val="28"/>
          <w:lang w:eastAsia="en-US" w:bidi="ar-SA"/>
        </w:rPr>
        <w:t>ссии 12 августа 2002 года, регистрационный № 3681), с изменениями и дополнениями, внесенными приказом ФСТ России от 10 июня 2009 года № 120-т/5 (зарегистрирован Минюстом России 16 июня 2009 года, регистрационный № 14091) (далее - Тарифное руководство № 3),</w:t>
      </w:r>
      <w:r>
        <w:rPr>
          <w:rFonts w:eastAsia="Calibri" w:cs="Times New Roman"/>
          <w:sz w:val="28"/>
          <w:szCs w:val="28"/>
          <w:lang w:eastAsia="en-US" w:bidi="ar-SA"/>
        </w:rPr>
        <w:t xml:space="preserve"> согласно приложению 4 к настоящему приказу</w:t>
      </w:r>
      <w:r>
        <w:rPr>
          <w:rFonts w:eastAsia="Times New Roman" w:cs="Times New Roman"/>
          <w:sz w:val="28"/>
          <w:szCs w:val="28"/>
          <w:lang w:eastAsia="en-US" w:bidi="ar-SA"/>
        </w:rPr>
        <w:t>.</w:t>
      </w:r>
    </w:p>
    <w:p w:rsidR="00F16EB2" w:rsidRDefault="00414988">
      <w:pPr>
        <w:pStyle w:val="Standard"/>
        <w:numPr>
          <w:ilvl w:val="2"/>
          <w:numId w:val="3"/>
        </w:numPr>
        <w:autoSpaceDE w:val="0"/>
        <w:spacing w:line="360" w:lineRule="auto"/>
        <w:ind w:left="0" w:firstLine="709"/>
        <w:jc w:val="both"/>
        <w:textAlignment w:val="auto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en-US" w:bidi="ar-SA"/>
        </w:rPr>
        <w:t xml:space="preserve">Установить индексы к базовым ставкам платы за нахождение на железнодорожных путях общего пользования подвижного состава и правил ее (Тарифное руководство), утвержденного приказом ФСТ России </w:t>
      </w:r>
      <w:r>
        <w:rPr>
          <w:rFonts w:eastAsia="Times New Roman" w:cs="Times New Roman"/>
          <w:sz w:val="28"/>
          <w:szCs w:val="28"/>
          <w:lang w:eastAsia="en-US" w:bidi="ar-SA"/>
        </w:rPr>
        <w:t xml:space="preserve">от 29.04.2015 № </w:t>
      </w:r>
      <w:r>
        <w:rPr>
          <w:rFonts w:eastAsia="Times New Roman" w:cs="Times New Roman"/>
          <w:sz w:val="28"/>
          <w:szCs w:val="28"/>
          <w:lang w:eastAsia="en-US" w:bidi="ar-SA"/>
        </w:rPr>
        <w:t xml:space="preserve">127-т/1 «Об утверждении платы за нахождение на железнодорожных путях общего пользования подвижного состава и правил ее применения (Тарифное руководство), а также о внесении изменений и дополнений в Правила применения ставок платы за пользование вагонами и </w:t>
      </w:r>
      <w:r>
        <w:rPr>
          <w:rFonts w:eastAsia="Times New Roman" w:cs="Times New Roman"/>
          <w:sz w:val="28"/>
          <w:szCs w:val="28"/>
          <w:lang w:eastAsia="en-US" w:bidi="ar-SA"/>
        </w:rPr>
        <w:t>контейнерами федерального железнодорожного транспорта (Тарифное руководство № 2), утвержденные постановлением Федеральной энергетической комиссии Российской Федерации от 19 июня 2002 года № 35/12» (Зарегистрировано в Минюсте России 26.05.2015, регистрацион</w:t>
      </w:r>
      <w:r>
        <w:rPr>
          <w:rFonts w:eastAsia="Times New Roman" w:cs="Times New Roman"/>
          <w:sz w:val="28"/>
          <w:szCs w:val="28"/>
          <w:lang w:eastAsia="en-US" w:bidi="ar-SA"/>
        </w:rPr>
        <w:t>ный № 37379),</w:t>
      </w:r>
      <w:r>
        <w:rPr>
          <w:rFonts w:eastAsia="Times New Roman" w:cs="Times New Roman"/>
          <w:sz w:val="28"/>
          <w:szCs w:val="28"/>
          <w:lang w:eastAsia="en-US" w:bidi="ar-SA"/>
        </w:rPr>
        <w:t xml:space="preserve"> согласно приложению № 6 к настоящему приказу.</w:t>
      </w:r>
    </w:p>
    <w:p w:rsidR="00F16EB2" w:rsidRDefault="00414988">
      <w:pPr>
        <w:pStyle w:val="Standard"/>
        <w:numPr>
          <w:ilvl w:val="2"/>
          <w:numId w:val="3"/>
        </w:numPr>
        <w:autoSpaceDE w:val="0"/>
        <w:spacing w:line="360" w:lineRule="auto"/>
        <w:ind w:left="0"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 xml:space="preserve">Признать не подлежащим применению приказ ФСТ России от 27 ноября 2012 года № 252-т/1 «Об индексации ставок тарифов, сборов и платы за перевозку грузов и услуги по использованию инфраструктуры при </w:t>
      </w:r>
      <w:r>
        <w:rPr>
          <w:rFonts w:eastAsia="Calibri" w:cs="Times New Roman"/>
          <w:sz w:val="28"/>
          <w:szCs w:val="28"/>
          <w:lang w:eastAsia="en-US" w:bidi="ar-SA"/>
        </w:rPr>
        <w:t xml:space="preserve">перевозках грузов, выполняемые (оказываемые) ОАО «Российские железные дороги» (зарегистрирован Минюстом России 28 февраля 2014 года, регистрационный № </w:t>
      </w:r>
      <w:r>
        <w:rPr>
          <w:rFonts w:eastAsia="Calibri" w:cs="Times New Roman"/>
          <w:sz w:val="28"/>
          <w:szCs w:val="28"/>
          <w:lang w:eastAsia="en-US" w:bidi="ar-SA"/>
        </w:rPr>
        <w:lastRenderedPageBreak/>
        <w:t>31453).</w:t>
      </w:r>
    </w:p>
    <w:p w:rsidR="00F16EB2" w:rsidRDefault="00414988">
      <w:pPr>
        <w:pStyle w:val="Standard"/>
        <w:numPr>
          <w:ilvl w:val="2"/>
          <w:numId w:val="3"/>
        </w:numPr>
        <w:autoSpaceDE w:val="0"/>
        <w:spacing w:line="360" w:lineRule="auto"/>
        <w:ind w:left="0"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Настоящий приказ вступает в силу в установленном порядке.</w:t>
      </w:r>
    </w:p>
    <w:p w:rsidR="00F16EB2" w:rsidRDefault="00414988">
      <w:pPr>
        <w:pStyle w:val="Standard"/>
        <w:numPr>
          <w:ilvl w:val="2"/>
          <w:numId w:val="3"/>
        </w:numPr>
        <w:autoSpaceDE w:val="0"/>
        <w:spacing w:line="360" w:lineRule="auto"/>
        <w:ind w:left="0" w:firstLine="709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 xml:space="preserve">Контроль исполнения настоящего приказа </w:t>
      </w:r>
      <w:r>
        <w:rPr>
          <w:rFonts w:eastAsia="Calibri" w:cs="Times New Roman"/>
          <w:sz w:val="28"/>
          <w:szCs w:val="28"/>
          <w:lang w:eastAsia="en-US" w:bidi="ar-SA"/>
        </w:rPr>
        <w:t>возложить на заместителя руководителя ФАС России А.В. Редько.</w:t>
      </w:r>
    </w:p>
    <w:p w:rsidR="00F16EB2" w:rsidRDefault="00F16EB2">
      <w:pPr>
        <w:pStyle w:val="Standard"/>
        <w:autoSpaceDE w:val="0"/>
        <w:ind w:hanging="12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</w:p>
    <w:p w:rsidR="00F16EB2" w:rsidRDefault="00414988">
      <w:pPr>
        <w:pStyle w:val="Standard"/>
        <w:autoSpaceDE w:val="0"/>
        <w:ind w:hanging="12"/>
        <w:jc w:val="both"/>
        <w:textAlignment w:val="auto"/>
        <w:rPr>
          <w:rFonts w:eastAsia="Calibri" w:cs="Times New Roman"/>
          <w:sz w:val="28"/>
          <w:szCs w:val="28"/>
          <w:lang w:eastAsia="en-US" w:bidi="ar-SA"/>
        </w:rPr>
      </w:pPr>
      <w:r>
        <w:rPr>
          <w:rFonts w:eastAsia="Calibri" w:cs="Times New Roman"/>
          <w:sz w:val="28"/>
          <w:szCs w:val="28"/>
          <w:lang w:eastAsia="en-US" w:bidi="ar-SA"/>
        </w:rPr>
        <w:t>Руководитель                                                                                        И.Ю. Артемьев</w:t>
      </w: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</w:pPr>
    </w:p>
    <w:p w:rsidR="00F16EB2" w:rsidRDefault="00F16EB2">
      <w:pPr>
        <w:pStyle w:val="Standard"/>
        <w:jc w:val="right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   Приложение № 1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</w:t>
      </w: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__________ №_____</w:t>
      </w: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lastRenderedPageBreak/>
        <w:t>ИНДЕКСЫ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 БАЗОВЫМ СТАВКАМ ТАРИФОВ, СБОРОВ И ПЛАТЫ, ОПРЕДЕЛЯЕМЫМ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ПО ПРАВИЛАМ РАЗДЕЛА 2 ЧАСТИ I ПРЕЙСКУРАНТА № 10-01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tbl>
      <w:tblPr>
        <w:tblW w:w="9624" w:type="dxa"/>
        <w:tblInd w:w="-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6168"/>
        <w:gridCol w:w="1068"/>
        <w:gridCol w:w="996"/>
        <w:gridCol w:w="852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тарифов, плат и сборов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2016 год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2017 год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2018 год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тарифов, сборов и плат раздела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2 части I Прейскуранта             № 10-01, за исключением тарифов, сборов и платы, указанных в пунктах 2 - 8 настоящей таблицы, а также тарифов на перевозки специальных грузов и воинских грузов, оформленных воинскими требованиями-накладными формы № 2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3,788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3,958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4,120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тарифов раздела 2 части I Прейскуранта № 10-01 на перевозки грузов в собственных (арендованных) полувагонах (за исключением случаев, когда такие перевозки оформлены воинскими требованиями-накладными формы № 2), в зависимости от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класса груза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 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 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грузов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1 класса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3,540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3,699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3,851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грузов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2 класса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3,634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3,798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3,954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proofErr w:type="gramStart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грузов</w:t>
            </w:r>
            <w:proofErr w:type="gramEnd"/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3 класса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3,703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3,870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4,029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3.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Ставки тарифов раздела 2 части I Прейскуранта № 10-01 на перевозки лесоматериалов круглых и пиломатериалов (позиции БТСНГ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081 и 091) на собственных (арендованных) универсальных платформах, оборудованных съемным и несъемным оборудованием, которое не выдается грузополучателю на станции назначения вместе с грузом (за исключением случаев, когда такие перевозки оформлены воинскими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 требованиями-накладными формы № 2)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3,540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3,699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3,851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4.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Ставки тарифов раздела 2 части 1 Прейскуранта № 10-01 на перевозки лесоматериалов круглых и пиломатериалов (позиции ЕТСНГ 081 и 091) на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lastRenderedPageBreak/>
              <w:t>собственных (арендованных) специализированных платформах для л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есоматериалов с длиной по осям сцепления автосцепок менее 19,6 метров (за исключением случаев, когда такие перевозки оформлены воинскими требованиями-накладными формы № 2)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3,333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3,483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3,626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lastRenderedPageBreak/>
              <w:t>5.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Ставки тарифов раздела 2 части I Прейскуранта № 10-01 на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перевозки минерально-строительных грузов с кодами ЕТСНГ 231015, 231072, 232087, 232145, 232153, 232164, 232291, 232395, 232408, 232412, 232427, 232431, 234028, 234070, 236023, 236038, 241322, 241337 на собственных (арендованных) универсальных платформах, 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борудованных съемным и несъемным оборудованием, которое не выдается грузополучателю на станции назначения вместе с грузом (за исключением случаев, когда такие перевозки оформлены воинскими требованиями-накладными формы № 2)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3,117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3,257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3,391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6.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тар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ифов раздела 2 части I Прейскуранта № 10-01 в части платы за услуги инфраструктуры и локомотивов ОАО «Российские железные дороги» при перевозках грузов в цистернах общего парка, тарифов на перевозки грузов в собственных (арендованных) цистернах и пробег со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бственных (арендованных) цистерн в порожнем состоянии в случаях, предусмотренных пунктами 2.16 и 2.17 Прейскуранта № 10-01 (за исключением перевозок в цистернах общего парка, собственных (арендованных) цистернах воинских грузов, оформленных воинскими требо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ваниями-накладными формы № 2, и возврате собственных (арендованных) цистерн из-под перевозок указанных грузов)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3,861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4,035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4,200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7.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Ставки тарифов, сборов и плат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раздела 2 части 1 Прейскуранта № 10-01 на перевозки грузов в контейнерах, включая перевозку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контейнеров в порожнем состоянии, а также размер уменьшения действующих тарифов при перевозке грузов в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lastRenderedPageBreak/>
              <w:t>универсальных контейнерах и порожних собственных (арендованных) универсальных контейнеров полными комплектами на вагон, указанный в таблице № 11 пр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иложен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ия 5 к разделу 2 части I Прейскуранта № 10-01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3,126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3,267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3,401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lastRenderedPageBreak/>
              <w:t>8.</w:t>
            </w:r>
          </w:p>
        </w:tc>
        <w:tc>
          <w:tcPr>
            <w:tcW w:w="6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both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сборов за дополнительные операции, связанные с перевозкой грузов, указанные в таблицах № № 31, 32 приложения 9 и таблицы № 34 приложения 10 к разделу 2 части I Прейскуранта № 10-01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1,998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2,088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2,174</w:t>
            </w:r>
          </w:p>
        </w:tc>
      </w:tr>
    </w:tbl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Приложение № 2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__________ №_____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ИНДЕКСЫ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 БАЗОВЫМ СТАВКАМ ТАРИФОВ, СБОРОВ И ПЛАТЫ, ОПРЕДЕЛЯЕМЫМ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lastRenderedPageBreak/>
        <w:t>ПО ПРАВИЛАМ РАЗДЕЛА 4 ЧАСТИ I ПРЕЙСКУРАНТА № 10-01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832"/>
        <w:gridCol w:w="1332"/>
        <w:gridCol w:w="1152"/>
        <w:gridCol w:w="792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5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Ставки тарифов,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сборов и плат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2016 год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2017 год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2018 год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5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тарифов, сборов и плат раздела 4 части 1 Прейскуранта № 10-01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1,359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1,420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1,478</w:t>
            </w:r>
          </w:p>
        </w:tc>
      </w:tr>
    </w:tbl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</w:t>
      </w: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  Приложение № 3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__________ №_____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ИНДЕКСЫ К БАЗОВЫМ </w:t>
      </w: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СТАВКАМ ТАРИФНОГО РУКОВОДСТВА № 2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tbl>
      <w:tblPr>
        <w:tblW w:w="96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520"/>
        <w:gridCol w:w="1128"/>
        <w:gridCol w:w="1092"/>
        <w:gridCol w:w="1368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5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плат и размеров уменьшения тарифов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2016 год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2017 год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2018 год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5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Плата за пользование вагонами, контейнерами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3,788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3,958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4,120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2.</w:t>
            </w:r>
          </w:p>
        </w:tc>
        <w:tc>
          <w:tcPr>
            <w:tcW w:w="5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 xml:space="preserve">Размеры уменьшения действующих тарифов на перевозки грузов в вагонах,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контейнерах федерального железнодорожного транспорта в зависимости от их типов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3,788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3,958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4,120</w:t>
            </w:r>
          </w:p>
        </w:tc>
      </w:tr>
    </w:tbl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 Приложение № 4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__________ №_____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lastRenderedPageBreak/>
        <w:t>ИНДЕКСЫ К БАЗОВЫМ СТАВКАМ СБОРОВ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ТАРИФНОГО РУКОВОДСТВА № </w:t>
      </w: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3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tbl>
      <w:tblPr>
        <w:tblW w:w="96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244"/>
        <w:gridCol w:w="1608"/>
        <w:gridCol w:w="1188"/>
        <w:gridCol w:w="1044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сборов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2016 год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2017 год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2018 год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Сбор за взвешивание груза (пункт 2.4) и сбор за подачу и уборку вагонов (пункт 2.7)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4,237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4,428</w:t>
            </w: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4,610</w:t>
            </w:r>
          </w:p>
        </w:tc>
      </w:tr>
    </w:tbl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   Приложение № 5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__________ </w:t>
      </w: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№_____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lastRenderedPageBreak/>
        <w:t>ДОПОЛНИТЕЛЬНЫЕ ИНДЕКСЫ</w:t>
      </w: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К ДЕЙСТВУЮЩИМ ТАРИФАМ РАЗДЕЛА 2 ЧАСТИ I ПРЕЙСКУРАНТА</w:t>
      </w: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№ 10-01 НА ЖЕЛЕЗНОДОРОЖНЫЕ ПЕРЕВОЗКИ ОТДЕЛЬНЫХ ВИДОВ ГРУЗОВ ЧЕРЕЗ ПОГРАНИЧНЫЕ ПЕРЕДАТОЧНЫЕ СТАНЦИИ РОССИЙСКОЙ ФЕДЕРАЦИИ (КРОМЕ ПЕРЕВОЗОК В/ИЗ СТРАН ЕАЭС),</w:t>
      </w: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 xml:space="preserve">ПРИ РАССТОЯНИИ 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ПЕРЕВОЗКИ ПО ИНФРАСТРУКТУРЕ</w:t>
      </w: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ОАО «РЖД» БОЛЕЕ 50 КМ, В ЗАВИСИМОСТИ</w:t>
      </w:r>
    </w:p>
    <w:p w:rsidR="00F16EB2" w:rsidRDefault="00414988">
      <w:pPr>
        <w:pStyle w:val="ConsPlusNormal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ОТ ТИПА ПОДВИЖНОГО СОСТАВА</w:t>
      </w:r>
    </w:p>
    <w:p w:rsidR="00F16EB2" w:rsidRDefault="00F16EB2">
      <w:pPr>
        <w:pStyle w:val="ConsPlusNormal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</w:p>
    <w:tbl>
      <w:tblPr>
        <w:tblW w:w="96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1929"/>
        <w:gridCol w:w="2460"/>
        <w:gridCol w:w="1272"/>
        <w:gridCol w:w="1824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Груз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Тип подвижного состава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Принадлежность подвижного состава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Размер дополнительного индекса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Применение дополнительного индекса в порожнем рейсе после перевозки 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нного груза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Сера (код ЕТСНГ 487169)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7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2,5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Кроме цистерн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парк </w:t>
            </w:r>
            <w:hyperlink r:id="rId8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1,94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Огнеупоры (позиции ЕТСНГ 302, 303)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9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1,55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</w:t>
            </w:r>
            <w:hyperlink r:id="rId10" w:history="1">
              <w:r>
                <w:t>&lt;***&gt;</w:t>
              </w:r>
            </w:hyperlink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Нефть сырая (позиция ЕТСНГ 201)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1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, собственные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1,799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Бензин (позиция ЕТСНГ 211)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2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1,407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Кероси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н (позиция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ЕТСНГ 212)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3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, собственные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1,309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Топливо дизельное (позиция ЕТСНГ 214)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4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1,107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Мазут нефтяной и каменноугольный (позиция ЕТСНГ 221)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5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1,412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Газы энергетические, углеводородные сжиженные (позиция ЕТСНГ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226, кроме 226021, 226069, 226106)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Цистерны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6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1,23 </w:t>
            </w:r>
            <w:hyperlink r:id="rId17" w:history="1">
              <w:r>
                <w:t>&lt;****&gt;</w:t>
              </w:r>
            </w:hyperlink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Лесоматериалы круглые, кроме крепежных (позиция ЕТСНГ 081)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Универсальные полувагоны (в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. оборудованные съемным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и несъемным оборудованием, которое не выдается на станции назначения грузополучателю)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8" w:history="1">
              <w:r>
                <w:t>&lt;**&gt;</w:t>
              </w:r>
            </w:hyperlink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1,668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Универсальные платформы (в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. оборудованные съемным и несъемным оборудованием, которое не выдается на станции назначения грузополучателю)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19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1,045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Специализированные платформы для лесоматериалов с длиной по осям сцепления автосцепок до 19,6 м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0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1,045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Пиломатериалы (позиция ЕТСНГ 091)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Универсальные полувагоны (в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. оборудованные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съемным и несъемным оборудованием, которое не выдается на станции назначения грузополучателю)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1" w:history="1">
              <w:r>
                <w:t>&lt;**&gt;</w:t>
              </w:r>
            </w:hyperlink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1,31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1,525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Универсальные крытые вагоны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2" w:history="1">
              <w:r>
                <w:t>&lt;*&gt;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1,355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Древесина измельченная (позиция ЕТСНГ 103)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3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1,118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</w:t>
            </w:r>
            <w:hyperlink r:id="rId24" w:history="1">
              <w:r>
                <w:t>&lt;***&gt;</w:t>
              </w:r>
            </w:hyperlink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Чугун (позиция ЕТСНГ 311) </w:t>
            </w:r>
            <w:hyperlink r:id="rId25" w:history="1">
              <w:r>
                <w:t>&lt;*****&gt;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6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1,30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Pr="00583400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Сталь в слитках, ферросплавы, заготовки стальные, прочие черные металлы, балки и швеллеры (позиции ЕТСНГ 312, 313, 314, 315, 322) </w:t>
            </w:r>
            <w:hyperlink r:id="rId27" w:history="1">
              <w:r w:rsidRPr="00583400">
                <w:rPr>
                  <w:lang w:val="ru-RU"/>
                </w:rPr>
                <w:t>&lt;*****&gt;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8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1,66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Лом черных металлов (позиция ЕТСНГ 316)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29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1,66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Рельсы (позиция ЕТСНГ 321) </w:t>
            </w:r>
            <w:hyperlink r:id="rId30" w:history="1">
              <w:r>
                <w:t>&lt;*****&gt;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31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1,56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Pr="00583400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Трубы из черных металлов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 xml:space="preserve">(позиция ЕТСНГ 323) </w:t>
            </w:r>
            <w:hyperlink r:id="rId32" w:history="1">
              <w:r w:rsidRPr="00583400">
                <w:rPr>
                  <w:lang w:val="ru-RU"/>
                </w:rPr>
                <w:t>&lt;*****&gt;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lastRenderedPageBreak/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33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1,30 (при экспорте)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1,66 (при импорте)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Pr="00583400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Прочие виды проката черных металлов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(позиция ЕТСНГ 324) </w:t>
            </w:r>
            <w:hyperlink r:id="rId34" w:history="1">
              <w:r w:rsidRPr="00583400">
                <w:rPr>
                  <w:lang w:val="ru-RU"/>
                </w:rPr>
                <w:t>&lt;*****&gt;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35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1,45 (при расстоянии перевозки по РЖД до 2000 км включительно)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F16EB2">
            <w:pPr>
              <w:pStyle w:val="Standard"/>
              <w:autoSpaceDE w:val="0"/>
              <w:textAlignment w:val="auto"/>
              <w:rPr>
                <w:rFonts w:eastAsia="Times New Roman" w:cs="Times New Roman"/>
                <w:sz w:val="28"/>
                <w:szCs w:val="28"/>
                <w:lang w:eastAsia="ru-RU" w:bidi="ar-SA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1,30 (при расстоянии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перевозки по РЖД свыше 2000 км)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Pr="00583400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Руды и концентраты железные (позиция ЕТСНГ 141) </w:t>
            </w:r>
            <w:hyperlink r:id="rId36" w:history="1">
              <w:r w:rsidRPr="00583400">
                <w:rPr>
                  <w:lang w:val="ru-RU"/>
                </w:rPr>
                <w:t>&lt;******&gt;</w:t>
              </w:r>
            </w:hyperlink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Общий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рк </w:t>
            </w:r>
            <w:hyperlink r:id="rId37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2,2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да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 </w:t>
            </w:r>
            <w:hyperlink r:id="rId38" w:history="1">
              <w:r>
                <w:t>&lt;***&gt;</w:t>
              </w:r>
            </w:hyperlink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Цемент (позиция ЕТСНГ 281)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Независимо от типа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 xml:space="preserve">Общий парк </w:t>
            </w:r>
            <w:hyperlink r:id="rId39" w:history="1">
              <w:r>
                <w:t>&lt;**&gt;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, собственные (арендованные)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1,66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16EB2" w:rsidRDefault="00414988">
            <w:pPr>
              <w:pStyle w:val="ConsPlusNormal"/>
              <w:spacing w:after="200" w:line="276" w:lineRule="auto"/>
              <w:jc w:val="center"/>
              <w:textAlignment w:val="auto"/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bidi="ar-SA"/>
              </w:rPr>
              <w:t>нет</w:t>
            </w:r>
            <w:proofErr w:type="gramEnd"/>
          </w:p>
        </w:tc>
      </w:tr>
    </w:tbl>
    <w:p w:rsidR="00F16EB2" w:rsidRDefault="00F16EB2">
      <w:pPr>
        <w:pStyle w:val="ConsPlusNormal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--------------------------------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1" w:name="Par373"/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&lt;*&gt; Индекс не применяется к тарифам группы «В» раздела 2 части I Прейскуранта № 10-01 при перевозках груз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ов в вагонах общего парка.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2" w:name="Par374"/>
      <w:bookmarkEnd w:id="2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lastRenderedPageBreak/>
        <w:t>&lt;**&gt;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 xml:space="preserve"> При перевозках в вагонах общего парка индекс не применяется: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- к тарифам группы «В» раздела 2 части I Прейскуранта № 10-01;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 xml:space="preserve">- к ставкам платы за использование инфраструктуры и локомотивов РЖД в порожнем рейсе раздела 2 части I Прейскуранта № 10-01 при 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перевозках грузов в универсальных полувагонах и платформах (включая универсальные платформы и полувагоны, оборудованные съемным и несъемным оборудованием, которое не выдается грузополучателю на станции назначения вместе с грузом) общего парка, а также на с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пециализированных платформах для лесоматериалов с длиной по осям сцепления автосцепок менее 19,6 метров.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3" w:name="Par377"/>
      <w:bookmarkEnd w:id="3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&lt;***&gt; За исключением порожних универсальных полувагонов, платформ (включая универсальные платформы, полувагоны, оборудованные съемным и несъемным обору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дованием, которое не выдается грузополучателю на станции назначения вместе с грузом) и специализированных платформ для перевозки лесоматериалов с длиной по осям сцепления автосцепок менее 19,6 м, следующих непосредственно после выгрузки указанных грузов че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рез пограничные передаточные станции Российской Федерации.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4" w:name="Par378"/>
      <w:bookmarkEnd w:id="4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&lt;****&gt; В этом случае дополнительно применяется коэффициент 0,6 за расстояние, превышающее 2300 км.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5" w:name="Par379"/>
      <w:bookmarkEnd w:id="5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 xml:space="preserve">&lt;*****&gt; Только в/из иностранные порты и через пограничные передаточные станции со странами Балтии </w:t>
      </w:r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и Финляндией.</w:t>
      </w:r>
    </w:p>
    <w:p w:rsidR="00F16EB2" w:rsidRDefault="00414988">
      <w:pPr>
        <w:pStyle w:val="ConsPlusNormal"/>
        <w:ind w:firstLine="540"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val="ru-RU" w:bidi="ar-SA"/>
        </w:rPr>
      </w:pPr>
      <w:bookmarkStart w:id="6" w:name="Par380"/>
      <w:bookmarkEnd w:id="6"/>
      <w:r>
        <w:rPr>
          <w:rFonts w:ascii="Times New Roman" w:eastAsia="Times New Roman" w:hAnsi="Times New Roman" w:cs="Times New Roman"/>
          <w:sz w:val="28"/>
          <w:szCs w:val="28"/>
          <w:lang w:val="ru-RU" w:bidi="ar-SA"/>
        </w:rPr>
        <w:t>&lt;******&gt; Только при импорте и без применения коэффициентов, указанных в примечаниях 1.3, 4.1, 7 к таблице № 4 приложения 3 к разделу 2 части I Прейскуранта № 10-01.</w:t>
      </w:r>
    </w:p>
    <w:p w:rsidR="00F16EB2" w:rsidRDefault="00F16EB2">
      <w:pPr>
        <w:pStyle w:val="ConsPlusNormal"/>
        <w:jc w:val="both"/>
        <w:textAlignment w:val="auto"/>
        <w:rPr>
          <w:rFonts w:eastAsia="Times New Roman" w:cs="Arial"/>
          <w:szCs w:val="20"/>
          <w:lang w:val="ru-RU" w:bidi="ar-SA"/>
        </w:rPr>
      </w:pPr>
    </w:p>
    <w:p w:rsidR="00F16EB2" w:rsidRDefault="00F16EB2">
      <w:pPr>
        <w:pStyle w:val="ConsPlusNormal"/>
        <w:jc w:val="both"/>
        <w:textAlignment w:val="auto"/>
        <w:rPr>
          <w:rFonts w:eastAsia="Times New Roman" w:cs="Arial"/>
          <w:szCs w:val="20"/>
          <w:lang w:val="ru-RU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</w:t>
      </w:r>
    </w:p>
    <w:p w:rsidR="00F16EB2" w:rsidRDefault="00414988">
      <w:pPr>
        <w:pStyle w:val="Standard"/>
        <w:ind w:left="6588"/>
        <w:jc w:val="both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    Приложение № 6</w:t>
      </w:r>
    </w:p>
    <w:p w:rsidR="00F16EB2" w:rsidRDefault="00414988">
      <w:pPr>
        <w:pStyle w:val="Standard"/>
        <w:autoSpaceDE w:val="0"/>
        <w:ind w:left="642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приказу ФАС России</w:t>
      </w:r>
    </w:p>
    <w:p w:rsidR="00F16EB2" w:rsidRDefault="00414988">
      <w:pPr>
        <w:pStyle w:val="Standard"/>
        <w:autoSpaceDE w:val="0"/>
        <w:ind w:left="642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 xml:space="preserve">      </w:t>
      </w:r>
      <w:proofErr w:type="gramStart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__________ №_____</w:t>
      </w: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right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  <w:r>
        <w:rPr>
          <w:rFonts w:eastAsia="Times New Roman" w:cs="Times New Roman"/>
          <w:color w:val="000000"/>
          <w:sz w:val="28"/>
          <w:szCs w:val="28"/>
          <w:lang w:eastAsia="en-US" w:bidi="ar-SA"/>
        </w:rPr>
        <w:t>ИНДЕКСЫ К БАЗОВЫМ СТАВКАМ</w:t>
      </w:r>
    </w:p>
    <w:p w:rsidR="00F16EB2" w:rsidRDefault="00414988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ru-RU" w:bidi="ar-SA"/>
        </w:rPr>
      </w:pPr>
      <w:r>
        <w:rPr>
          <w:rFonts w:eastAsia="Times New Roman" w:cs="Times New Roman"/>
          <w:caps/>
          <w:color w:val="000000"/>
          <w:sz w:val="28"/>
          <w:szCs w:val="28"/>
          <w:lang w:eastAsia="en-US" w:bidi="ar-SA"/>
        </w:rPr>
        <w:t xml:space="preserve">платы за нахождение на железнодорожных путях общего пользования подвижного состава </w:t>
      </w:r>
      <w:r>
        <w:rPr>
          <w:rFonts w:eastAsia="Times New Roman" w:cs="Times New Roman"/>
          <w:color w:val="000000"/>
          <w:sz w:val="28"/>
          <w:szCs w:val="28"/>
          <w:lang w:eastAsia="ru-RU" w:bidi="ar-SA"/>
        </w:rPr>
        <w:t>И ПРАВИЛ ЕЕ ПРИМЕНЕНИЯ (ТАРИФНОЕ РУКОВОДСТВО)</w:t>
      </w: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tbl>
      <w:tblPr>
        <w:tblW w:w="96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5688"/>
        <w:gridCol w:w="1260"/>
        <w:gridCol w:w="1020"/>
        <w:gridCol w:w="1116"/>
      </w:tblGrid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№ п/п</w:t>
            </w:r>
          </w:p>
        </w:tc>
        <w:tc>
          <w:tcPr>
            <w:tcW w:w="5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Ставки платы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2016 год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2017 год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2018 год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1.</w:t>
            </w:r>
          </w:p>
        </w:tc>
        <w:tc>
          <w:tcPr>
            <w:tcW w:w="5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Плата за нахождение на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 w:bidi="ar-SA"/>
              </w:rPr>
              <w:t>железнодорожных путях общего пользования вагонов, контейнеров (предоставление железнодорожных путей) в перевозочном процессе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1,090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1,139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1,186</w:t>
            </w:r>
          </w:p>
        </w:tc>
      </w:tr>
      <w:tr w:rsidR="00F16EB2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2.</w:t>
            </w:r>
          </w:p>
        </w:tc>
        <w:tc>
          <w:tcPr>
            <w:tcW w:w="5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Плата за не связанное с перевозочным процессом нахождение порожних вагонов на железнодорожных путях общего по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льзования (вне перевозочного процесса)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1,090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1,139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EB2" w:rsidRDefault="00414988">
            <w:pPr>
              <w:pStyle w:val="Standard"/>
              <w:autoSpaceDE w:val="0"/>
              <w:spacing w:after="200" w:line="276" w:lineRule="auto"/>
              <w:jc w:val="center"/>
              <w:textAlignment w:val="auto"/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 w:bidi="ar-SA"/>
              </w:rPr>
              <w:t>1,186</w:t>
            </w:r>
          </w:p>
        </w:tc>
      </w:tr>
    </w:tbl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center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autoSpaceDE w:val="0"/>
        <w:jc w:val="both"/>
        <w:textAlignment w:val="auto"/>
        <w:rPr>
          <w:rFonts w:eastAsia="Times New Roman" w:cs="Times New Roman"/>
          <w:color w:val="000000"/>
          <w:sz w:val="28"/>
          <w:szCs w:val="28"/>
          <w:lang w:eastAsia="en-US" w:bidi="ar-SA"/>
        </w:rPr>
      </w:pPr>
    </w:p>
    <w:p w:rsidR="00F16EB2" w:rsidRDefault="00F16EB2">
      <w:pPr>
        <w:pStyle w:val="Standard"/>
        <w:jc w:val="right"/>
      </w:pPr>
    </w:p>
    <w:sectPr w:rsidR="00F16EB2">
      <w:footerReference w:type="default" r:id="rId40"/>
      <w:footerReference w:type="first" r:id="rId41"/>
      <w:pgSz w:w="11906" w:h="16838"/>
      <w:pgMar w:top="1134" w:right="1134" w:bottom="1700" w:left="1134" w:header="720" w:footer="141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988" w:rsidRDefault="00414988">
      <w:r>
        <w:separator/>
      </w:r>
    </w:p>
  </w:endnote>
  <w:endnote w:type="continuationSeparator" w:id="0">
    <w:p w:rsidR="00414988" w:rsidRDefault="0041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CA" w:rsidRDefault="00414988">
    <w:pPr>
      <w:pStyle w:val="a5"/>
      <w:jc w:val="right"/>
    </w:pPr>
    <w:r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haracter">
                <wp:posOffset>179640</wp:posOffset>
              </wp:positionH>
              <wp:positionV relativeFrom="page">
                <wp:posOffset>10332000</wp:posOffset>
              </wp:positionV>
              <wp:extent cx="1728000" cy="0"/>
              <wp:effectExtent l="0" t="0" r="0" b="0"/>
              <wp:wrapSquare wrapText="bothSides"/>
              <wp:docPr id="1" name="SpdTextFram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DA7DCA" w:rsidRDefault="00414988">
                          <w:pPr>
                            <w:pStyle w:val="Framecontents"/>
                          </w:pPr>
                          <w:r>
                            <w:t>Идентификатор</w:t>
                          </w:r>
                        </w:p>
                      </w:txbxContent>
                    </wps:txbx>
                    <wps:bodyPr vert="horz" wrap="none" lIns="54000" tIns="179640" rIns="179640" bIns="5400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pdTextFrame" o:spid="_x0000_s1026" type="#_x0000_t202" style="position:absolute;margin-left:14.15pt;margin-top:813.55pt;width:136.05pt;height:0;z-index:251659264;visibility:visible;mso-wrap-style:none;mso-wrap-distance-left:9pt;mso-wrap-distance-top:0;mso-wrap-distance-right:9pt;mso-wrap-distance-bottom:0;mso-position-horizontal:absolute;mso-position-horizontal-relative:char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" filled="f" stroked="f">
              <v:textbox style="mso-fit-shape-to-text:t" inset="1.5mm,4.99mm,4.99mm,1.5mm">
                <w:txbxContent>
                  <w:p w:rsidR="00DA7DCA" w:rsidRDefault="00414988">
                    <w:pPr>
                      <w:pStyle w:val="Framecontents"/>
                    </w:pPr>
                    <w:r>
                      <w:t>Идентификатор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DCA" w:rsidRDefault="00414988">
    <w:pPr>
      <w:pStyle w:val="a5"/>
      <w:jc w:val="right"/>
    </w:pPr>
    <w:r>
      <w:rPr>
        <w:noProof/>
        <w:lang w:eastAsia="ru-RU" w:bidi="ar-SA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align>top</wp:align>
          </wp:positionV>
          <wp:extent cx="1296000" cy="280800"/>
          <wp:effectExtent l="0" t="0" r="0" b="4950"/>
          <wp:wrapTopAndBottom/>
          <wp:docPr id="2" name="SpdBarco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 bright="-50000"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6000" cy="280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haracter">
                <wp:posOffset>179640</wp:posOffset>
              </wp:positionH>
              <wp:positionV relativeFrom="page">
                <wp:posOffset>10332000</wp:posOffset>
              </wp:positionV>
              <wp:extent cx="1728000" cy="0"/>
              <wp:effectExtent l="0" t="0" r="0" b="0"/>
              <wp:wrapSquare wrapText="bothSides"/>
              <wp:docPr id="3" name="SpdText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800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DA7DCA" w:rsidRDefault="00414988">
                          <w:pPr>
                            <w:pStyle w:val="Framecontents"/>
                          </w:pPr>
                          <w:r>
                            <w:t>Идентификатор</w:t>
                          </w:r>
                        </w:p>
                      </w:txbxContent>
                    </wps:txbx>
                    <wps:bodyPr vert="horz" wrap="none" lIns="54000" tIns="179640" rIns="179640" bIns="5400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pdTextFrame1" o:spid="_x0000_s1027" type="#_x0000_t202" style="position:absolute;margin-left:14.15pt;margin-top:813.55pt;width:136.05pt;height:0;z-index:251661312;visibility:visible;mso-wrap-style:none;mso-wrap-distance-left:9pt;mso-wrap-distance-top:0;mso-wrap-distance-right:9pt;mso-wrap-distance-bottom:0;mso-position-horizontal:absolute;mso-position-horizontal-relative:char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" filled="f" stroked="f">
              <v:textbox style="mso-fit-shape-to-text:t" inset="1.5mm,4.99mm,4.99mm,1.5mm">
                <w:txbxContent>
                  <w:p w:rsidR="00DA7DCA" w:rsidRDefault="00414988">
                    <w:pPr>
                      <w:pStyle w:val="Framecontents"/>
                    </w:pPr>
                    <w:r>
                      <w:t>Идентификатор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988" w:rsidRDefault="00414988">
      <w:r>
        <w:rPr>
          <w:color w:val="000000"/>
        </w:rPr>
        <w:separator/>
      </w:r>
    </w:p>
  </w:footnote>
  <w:footnote w:type="continuationSeparator" w:id="0">
    <w:p w:rsidR="00414988" w:rsidRDefault="0041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32D8C"/>
    <w:multiLevelType w:val="multilevel"/>
    <w:tmpl w:val="24FAE41E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">
    <w:nsid w:val="414B2ACA"/>
    <w:multiLevelType w:val="multilevel"/>
    <w:tmpl w:val="AA88BCEC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">
    <w:nsid w:val="778908C4"/>
    <w:multiLevelType w:val="multilevel"/>
    <w:tmpl w:val="039E2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4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F16EB2"/>
    <w:rsid w:val="00414988"/>
    <w:rsid w:val="00583400"/>
    <w:rsid w:val="00F1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6EE6-A86D-48D4-BEA4-6CA8CEA2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Textbody"/>
  </w:style>
  <w:style w:type="paragraph" w:styleId="2">
    <w:name w:val="Body Text Indent 2"/>
    <w:basedOn w:val="Standard"/>
    <w:pPr>
      <w:ind w:firstLine="720"/>
      <w:jc w:val="center"/>
    </w:pPr>
    <w:rPr>
      <w:rFonts w:cs="Times New Roman"/>
      <w:lang w:eastAsia="ru-RU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a6">
    <w:name w:val="???????"/>
    <w:pPr>
      <w:autoSpaceDE w:val="0"/>
    </w:pPr>
    <w:rPr>
      <w:lang w:val="en-US"/>
    </w:rPr>
  </w:style>
  <w:style w:type="paragraph" w:customStyle="1" w:styleId="ConsPlusNormal">
    <w:name w:val="ConsPlusNormal"/>
    <w:pPr>
      <w:autoSpaceDE w:val="0"/>
      <w:spacing w:line="100" w:lineRule="atLeast"/>
    </w:pPr>
    <w:rPr>
      <w:rFonts w:ascii="Arial" w:hAnsi="Arial"/>
      <w:sz w:val="20"/>
      <w:lang w:val="en-US" w:eastAsia="ru-RU"/>
    </w:rPr>
  </w:style>
  <w:style w:type="paragraph" w:customStyle="1" w:styleId="a7">
    <w:name w:val="Ñîäåðæèìîå ñïèñêà"/>
    <w:basedOn w:val="a6"/>
    <w:pPr>
      <w:ind w:left="567"/>
    </w:pPr>
    <w:rPr>
      <w:lang w:val="ru-RU"/>
    </w:rPr>
  </w:style>
  <w:style w:type="paragraph" w:customStyle="1" w:styleId="a8">
    <w:name w:val="Îñíîâíîé òåêñò"/>
    <w:basedOn w:val="a6"/>
    <w:pPr>
      <w:spacing w:after="120"/>
    </w:pPr>
    <w:rPr>
      <w:lang w:val="ru-RU"/>
    </w:rPr>
  </w:style>
  <w:style w:type="paragraph" w:customStyle="1" w:styleId="ConsPlusNormal0">
    <w:name w:val="ConsPlusNormal"/>
    <w:pPr>
      <w:autoSpaceDE w:val="0"/>
    </w:pPr>
    <w:rPr>
      <w:rFonts w:eastAsia="Times New Roman" w:cs="Times New Roman"/>
      <w:b/>
      <w:bCs/>
      <w:sz w:val="36"/>
      <w:szCs w:val="36"/>
    </w:rPr>
  </w:style>
  <w:style w:type="paragraph" w:customStyle="1" w:styleId="ConsPlusNonformat">
    <w:name w:val="ConsPlusNonformat"/>
    <w:next w:val="ConsPlusNormal0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ConsPlusNormal0"/>
    <w:pPr>
      <w:autoSpaceDE w:val="0"/>
    </w:pPr>
    <w:rPr>
      <w:rFonts w:eastAsia="Times New Roman" w:cs="Times New Roman"/>
      <w:b/>
      <w:bCs/>
      <w:sz w:val="36"/>
      <w:szCs w:val="36"/>
    </w:rPr>
  </w:style>
  <w:style w:type="paragraph" w:customStyle="1" w:styleId="ConsPlusCell">
    <w:name w:val="ConsPlusCell"/>
    <w:next w:val="ConsPlusNormal0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DocList">
    <w:name w:val="ConsPlusDocList"/>
    <w:next w:val="ConsPlusNormal0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Page">
    <w:name w:val="ConsPlusTitlePage"/>
    <w:next w:val="ConsPlusNormal0"/>
    <w:pPr>
      <w:autoSpaceDE w:val="0"/>
    </w:pPr>
    <w:rPr>
      <w:rFonts w:ascii="Tahoma" w:eastAsia="Tahoma" w:hAnsi="Tahoma" w:cs="Tahoma"/>
      <w:sz w:val="36"/>
      <w:szCs w:val="36"/>
    </w:rPr>
  </w:style>
  <w:style w:type="paragraph" w:customStyle="1" w:styleId="ConsPlusJurTerm">
    <w:name w:val="ConsPlusJurTerm"/>
    <w:next w:val="ConsPlusNormal0"/>
    <w:pPr>
      <w:autoSpaceDE w:val="0"/>
    </w:pPr>
    <w:rPr>
      <w:rFonts w:ascii="Tahoma" w:eastAsia="Tahoma" w:hAnsi="Tahoma" w:cs="Tahoma"/>
      <w:sz w:val="26"/>
      <w:szCs w:val="26"/>
    </w:rPr>
  </w:style>
  <w:style w:type="character" w:customStyle="1" w:styleId="20">
    <w:name w:val="Основной текст с отступом 2 Знак"/>
    <w:basedOn w:val="a0"/>
    <w:rPr>
      <w:rFonts w:ascii="Times New Roman" w:eastAsia="Times New Roman" w:hAnsi="Times New Roman" w:cs="Times New Roman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-">
    <w:name w:val="????????-??????"/>
    <w:rPr>
      <w:color w:val="000080"/>
      <w:u w:val="single"/>
    </w:rPr>
  </w:style>
  <w:style w:type="character" w:customStyle="1" w:styleId="a9">
    <w:name w:val="?????? ??????"/>
  </w:style>
  <w:style w:type="character" w:customStyle="1" w:styleId="aa">
    <w:name w:val="??????? ???????? ??????"/>
  </w:style>
  <w:style w:type="character" w:customStyle="1" w:styleId="ab">
    <w:name w:val="?????????? ???????????"/>
    <w:rPr>
      <w:color w:val="800000"/>
      <w:u w:val="single"/>
    </w:rPr>
  </w:style>
  <w:style w:type="character" w:customStyle="1" w:styleId="NumberingSymbols">
    <w:name w:val="Numbering Symbols"/>
  </w:style>
  <w:style w:type="numbering" w:customStyle="1" w:styleId="RTFNum2">
    <w:name w:val="RTF_Num 2"/>
    <w:basedOn w:val="a2"/>
    <w:pPr>
      <w:numPr>
        <w:numId w:val="1"/>
      </w:numPr>
    </w:pPr>
  </w:style>
  <w:style w:type="numbering" w:customStyle="1" w:styleId="RTFNum3">
    <w:name w:val="RTF_Num 3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consultant.ru/cons/rtfcache/LAW172343_0_34FB6A1C7C3E172494F246C83B844AB720150928_142002_54064.rtf#Par374" TargetMode="External"/><Relationship Id="rId13" Type="http://schemas.openxmlformats.org/officeDocument/2006/relationships/hyperlink" Target="http://base.consultant.ru/cons/rtfcache/LAW172343_0_34FB6A1C7C3E172494F246C83B844AB720150928_142002_54064.rtf#Par373" TargetMode="External"/><Relationship Id="rId18" Type="http://schemas.openxmlformats.org/officeDocument/2006/relationships/hyperlink" Target="http://base.consultant.ru/cons/rtfcache/LAW172343_0_34FB6A1C7C3E172494F246C83B844AB720150928_142002_54064.rtf#Par374" TargetMode="External"/><Relationship Id="rId26" Type="http://schemas.openxmlformats.org/officeDocument/2006/relationships/hyperlink" Target="http://base.consultant.ru/cons/rtfcache/LAW172343_0_34FB6A1C7C3E172494F246C83B844AB720150928_142002_54064.rtf#Par374" TargetMode="External"/><Relationship Id="rId39" Type="http://schemas.openxmlformats.org/officeDocument/2006/relationships/hyperlink" Target="http://base.consultant.ru/cons/rtfcache/LAW172343_0_34FB6A1C7C3E172494F246C83B844AB720150928_142002_54064.rtf#Par37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e.consultant.ru/cons/rtfcache/LAW172343_0_34FB6A1C7C3E172494F246C83B844AB720150928_142002_54064.rtf#Par374" TargetMode="External"/><Relationship Id="rId34" Type="http://schemas.openxmlformats.org/officeDocument/2006/relationships/hyperlink" Target="http://base.consultant.ru/cons/rtfcache/LAW172343_0_34FB6A1C7C3E172494F246C83B844AB720150928_142002_54064.rtf#Par37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base.consultant.ru/cons/rtfcache/LAW172343_0_34FB6A1C7C3E172494F246C83B844AB720150928_142002_54064.rtf#Par374" TargetMode="External"/><Relationship Id="rId12" Type="http://schemas.openxmlformats.org/officeDocument/2006/relationships/hyperlink" Target="http://base.consultant.ru/cons/rtfcache/LAW172343_0_34FB6A1C7C3E172494F246C83B844AB720150928_142002_54064.rtf#Par373" TargetMode="External"/><Relationship Id="rId17" Type="http://schemas.openxmlformats.org/officeDocument/2006/relationships/hyperlink" Target="http://base.consultant.ru/cons/rtfcache/LAW172343_0_34FB6A1C7C3E172494F246C83B844AB720150928_142002_54064.rtf#Par378" TargetMode="External"/><Relationship Id="rId25" Type="http://schemas.openxmlformats.org/officeDocument/2006/relationships/hyperlink" Target="http://base.consultant.ru/cons/rtfcache/LAW172343_0_34FB6A1C7C3E172494F246C83B844AB720150928_142002_54064.rtf#Par379" TargetMode="External"/><Relationship Id="rId33" Type="http://schemas.openxmlformats.org/officeDocument/2006/relationships/hyperlink" Target="http://base.consultant.ru/cons/rtfcache/LAW172343_0_34FB6A1C7C3E172494F246C83B844AB720150928_142002_54064.rtf#Par374" TargetMode="External"/><Relationship Id="rId38" Type="http://schemas.openxmlformats.org/officeDocument/2006/relationships/hyperlink" Target="http://base.consultant.ru/cons/rtfcache/LAW172343_0_34FB6A1C7C3E172494F246C83B844AB720150928_142002_54064.rtf#Par377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consultant.ru/cons/rtfcache/LAW172343_0_34FB6A1C7C3E172494F246C83B844AB720150928_142002_54064.rtf#Par373" TargetMode="External"/><Relationship Id="rId20" Type="http://schemas.openxmlformats.org/officeDocument/2006/relationships/hyperlink" Target="http://base.consultant.ru/cons/rtfcache/LAW172343_0_34FB6A1C7C3E172494F246C83B844AB720150928_142002_54064.rtf#Par374" TargetMode="External"/><Relationship Id="rId29" Type="http://schemas.openxmlformats.org/officeDocument/2006/relationships/hyperlink" Target="http://base.consultant.ru/cons/rtfcache/LAW172343_0_34FB6A1C7C3E172494F246C83B844AB720150928_142002_54064.rtf#Par374" TargetMode="External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e.consultant.ru/cons/rtfcache/LAW172343_0_34FB6A1C7C3E172494F246C83B844AB720150928_142002_54064.rtf#Par373" TargetMode="External"/><Relationship Id="rId24" Type="http://schemas.openxmlformats.org/officeDocument/2006/relationships/hyperlink" Target="http://base.consultant.ru/cons/rtfcache/LAW172343_0_34FB6A1C7C3E172494F246C83B844AB720150928_142002_54064.rtf#Par377" TargetMode="External"/><Relationship Id="rId32" Type="http://schemas.openxmlformats.org/officeDocument/2006/relationships/hyperlink" Target="http://base.consultant.ru/cons/rtfcache/LAW172343_0_34FB6A1C7C3E172494F246C83B844AB720150928_142002_54064.rtf#Par379" TargetMode="External"/><Relationship Id="rId37" Type="http://schemas.openxmlformats.org/officeDocument/2006/relationships/hyperlink" Target="http://base.consultant.ru/cons/rtfcache/LAW172343_0_34FB6A1C7C3E172494F246C83B844AB720150928_142002_54064.rtf#Par374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base.consultant.ru/cons/rtfcache/LAW172343_0_34FB6A1C7C3E172494F246C83B844AB720150928_142002_54064.rtf#Par373" TargetMode="External"/><Relationship Id="rId23" Type="http://schemas.openxmlformats.org/officeDocument/2006/relationships/hyperlink" Target="http://base.consultant.ru/cons/rtfcache/LAW172343_0_34FB6A1C7C3E172494F246C83B844AB720150928_142002_54064.rtf#Par374" TargetMode="External"/><Relationship Id="rId28" Type="http://schemas.openxmlformats.org/officeDocument/2006/relationships/hyperlink" Target="http://base.consultant.ru/cons/rtfcache/LAW172343_0_34FB6A1C7C3E172494F246C83B844AB720150928_142002_54064.rtf#Par374" TargetMode="External"/><Relationship Id="rId36" Type="http://schemas.openxmlformats.org/officeDocument/2006/relationships/hyperlink" Target="http://base.consultant.ru/cons/rtfcache/LAW172343_0_34FB6A1C7C3E172494F246C83B844AB720150928_142002_54064.rtf#Par380" TargetMode="External"/><Relationship Id="rId10" Type="http://schemas.openxmlformats.org/officeDocument/2006/relationships/hyperlink" Target="http://base.consultant.ru/cons/rtfcache/LAW172343_0_34FB6A1C7C3E172494F246C83B844AB720150928_142002_54064.rtf#Par377" TargetMode="External"/><Relationship Id="rId19" Type="http://schemas.openxmlformats.org/officeDocument/2006/relationships/hyperlink" Target="http://base.consultant.ru/cons/rtfcache/LAW172343_0_34FB6A1C7C3E172494F246C83B844AB720150928_142002_54064.rtf#Par374" TargetMode="External"/><Relationship Id="rId31" Type="http://schemas.openxmlformats.org/officeDocument/2006/relationships/hyperlink" Target="http://base.consultant.ru/cons/rtfcache/LAW172343_0_34FB6A1C7C3E172494F246C83B844AB720150928_142002_54064.rtf#Par3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consultant.ru/cons/rtfcache/LAW172343_0_34FB6A1C7C3E172494F246C83B844AB720150928_142002_54064.rtf#Par374" TargetMode="External"/><Relationship Id="rId14" Type="http://schemas.openxmlformats.org/officeDocument/2006/relationships/hyperlink" Target="http://base.consultant.ru/cons/rtfcache/LAW172343_0_34FB6A1C7C3E172494F246C83B844AB720150928_142002_54064.rtf#Par373" TargetMode="External"/><Relationship Id="rId22" Type="http://schemas.openxmlformats.org/officeDocument/2006/relationships/hyperlink" Target="http://base.consultant.ru/cons/rtfcache/LAW172343_0_34FB6A1C7C3E172494F246C83B844AB720150928_142002_54064.rtf#Par373" TargetMode="External"/><Relationship Id="rId27" Type="http://schemas.openxmlformats.org/officeDocument/2006/relationships/hyperlink" Target="http://base.consultant.ru/cons/rtfcache/LAW172343_0_34FB6A1C7C3E172494F246C83B844AB720150928_142002_54064.rtf#Par379" TargetMode="External"/><Relationship Id="rId30" Type="http://schemas.openxmlformats.org/officeDocument/2006/relationships/hyperlink" Target="http://base.consultant.ru/cons/rtfcache/LAW172343_0_34FB6A1C7C3E172494F246C83B844AB720150928_142002_54064.rtf#Par379" TargetMode="External"/><Relationship Id="rId35" Type="http://schemas.openxmlformats.org/officeDocument/2006/relationships/hyperlink" Target="http://base.consultant.ru/cons/rtfcache/LAW172343_0_34FB6A1C7C3E172494F246C83B844AB720150928_142002_54064.rtf#Par374" TargetMode="External"/><Relationship Id="rId43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3789</Words>
  <Characters>21599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Жердев Олег Сергеевич</dc:creator>
  <cp:lastModifiedBy>Жердев Олег Сергеевич</cp:lastModifiedBy>
  <cp:revision>2</cp:revision>
  <cp:lastPrinted>2015-12-02T15:33:00Z</cp:lastPrinted>
  <dcterms:created xsi:type="dcterms:W3CDTF">2015-12-02T14:02:00Z</dcterms:created>
  <dcterms:modified xsi:type="dcterms:W3CDTF">2015-12-02T14:02:00Z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